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CC8" w:rsidRDefault="006A0CC8" w:rsidP="006A0CC8">
      <w:pPr>
        <w:pStyle w:val="NormaleWeb"/>
        <w:keepNext/>
        <w:jc w:val="both"/>
        <w:rPr>
          <w:rFonts w:ascii="Poppins" w:hAnsi="Poppins"/>
          <w:b/>
          <w:bCs/>
          <w:color w:val="203E77"/>
          <w:sz w:val="30"/>
          <w:szCs w:val="30"/>
        </w:rPr>
      </w:pPr>
      <w:bookmarkStart w:id="0" w:name="_GoBack"/>
      <w:bookmarkEnd w:id="0"/>
      <w:r>
        <w:rPr>
          <w:rFonts w:ascii="Poppins" w:hAnsi="Poppins"/>
          <w:b/>
          <w:bCs/>
          <w:color w:val="203E77"/>
          <w:sz w:val="30"/>
          <w:szCs w:val="30"/>
        </w:rPr>
        <w:t>2024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3119"/>
        <w:gridCol w:w="1132"/>
        <w:gridCol w:w="1263"/>
        <w:gridCol w:w="863"/>
        <w:gridCol w:w="1554"/>
      </w:tblGrid>
      <w:tr w:rsidR="006A0CC8" w:rsidRPr="00FF378B" w:rsidTr="0005263E">
        <w:trPr>
          <w:trHeight w:val="858"/>
        </w:trPr>
        <w:tc>
          <w:tcPr>
            <w:tcW w:w="881" w:type="pct"/>
            <w:tcBorders>
              <w:top w:val="single" w:sz="4" w:space="0" w:color="0000FF"/>
              <w:left w:val="single" w:sz="4" w:space="0" w:color="0000FF"/>
              <w:bottom w:val="single" w:sz="4" w:space="0" w:color="9BC2E6"/>
              <w:right w:val="single" w:sz="4" w:space="0" w:color="0000FF"/>
            </w:tcBorders>
            <w:shd w:val="clear" w:color="5B9BD5" w:fill="5B9BD5"/>
            <w:vAlign w:val="center"/>
            <w:hideMark/>
          </w:tcPr>
          <w:p w:rsidR="006A0CC8" w:rsidRDefault="006A0CC8" w:rsidP="00131805">
            <w:pPr>
              <w:spacing w:after="0" w:line="240" w:lineRule="auto"/>
              <w:jc w:val="center"/>
              <w:rPr>
                <w:rFonts w:ascii="Poppins" w:eastAsia="Times New Roman" w:hAnsi="Poppins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F378B">
              <w:rPr>
                <w:rFonts w:ascii="Poppins" w:eastAsia="Times New Roman" w:hAnsi="Poppins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CODICE </w:t>
            </w:r>
          </w:p>
          <w:p w:rsidR="006A0CC8" w:rsidRPr="00FF378B" w:rsidRDefault="006A0CC8" w:rsidP="00131805">
            <w:pPr>
              <w:spacing w:after="0" w:line="240" w:lineRule="auto"/>
              <w:jc w:val="center"/>
              <w:rPr>
                <w:rFonts w:ascii="Poppins" w:eastAsia="Times New Roman" w:hAnsi="Poppins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F378B">
              <w:rPr>
                <w:rFonts w:ascii="Poppins" w:eastAsia="Times New Roman" w:hAnsi="Poppins" w:cs="Arial"/>
                <w:b/>
                <w:bCs/>
                <w:color w:val="000000"/>
                <w:sz w:val="16"/>
                <w:szCs w:val="16"/>
                <w:lang w:eastAsia="it-IT"/>
              </w:rPr>
              <w:t>PROTOCOLLO</w:t>
            </w:r>
          </w:p>
        </w:tc>
        <w:tc>
          <w:tcPr>
            <w:tcW w:w="1620" w:type="pct"/>
            <w:tcBorders>
              <w:top w:val="single" w:sz="4" w:space="0" w:color="0000FF"/>
              <w:left w:val="single" w:sz="4" w:space="0" w:color="0000FF"/>
              <w:bottom w:val="single" w:sz="4" w:space="0" w:color="9BC2E6"/>
              <w:right w:val="single" w:sz="4" w:space="0" w:color="0000FF"/>
            </w:tcBorders>
            <w:shd w:val="clear" w:color="5B9BD5" w:fill="5B9BD5"/>
            <w:vAlign w:val="center"/>
            <w:hideMark/>
          </w:tcPr>
          <w:p w:rsidR="006A0CC8" w:rsidRPr="00FF378B" w:rsidRDefault="006A0CC8" w:rsidP="00131805">
            <w:pPr>
              <w:spacing w:after="0" w:line="240" w:lineRule="auto"/>
              <w:jc w:val="center"/>
              <w:rPr>
                <w:rFonts w:ascii="Poppins" w:eastAsia="Times New Roman" w:hAnsi="Poppins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F378B">
              <w:rPr>
                <w:rFonts w:ascii="Poppins" w:eastAsia="Times New Roman" w:hAnsi="Poppins" w:cs="Arial"/>
                <w:b/>
                <w:bCs/>
                <w:color w:val="000000"/>
                <w:sz w:val="16"/>
                <w:szCs w:val="16"/>
                <w:lang w:eastAsia="it-IT"/>
              </w:rPr>
              <w:t>TITOLO STUDIO</w:t>
            </w:r>
          </w:p>
        </w:tc>
        <w:tc>
          <w:tcPr>
            <w:tcW w:w="588" w:type="pct"/>
            <w:tcBorders>
              <w:top w:val="single" w:sz="4" w:space="0" w:color="0000FF"/>
              <w:left w:val="single" w:sz="4" w:space="0" w:color="0000FF"/>
              <w:bottom w:val="single" w:sz="4" w:space="0" w:color="9BC2E6"/>
              <w:right w:val="single" w:sz="4" w:space="0" w:color="0000FF"/>
            </w:tcBorders>
            <w:shd w:val="clear" w:color="5B9BD5" w:fill="5B9BD5"/>
            <w:vAlign w:val="center"/>
            <w:hideMark/>
          </w:tcPr>
          <w:p w:rsidR="006A0CC8" w:rsidRPr="00FF378B" w:rsidRDefault="006A0CC8" w:rsidP="00131805">
            <w:pPr>
              <w:spacing w:after="0" w:line="240" w:lineRule="auto"/>
              <w:jc w:val="center"/>
              <w:rPr>
                <w:rFonts w:ascii="Poppins" w:eastAsia="Times New Roman" w:hAnsi="Poppins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F378B">
              <w:rPr>
                <w:rFonts w:ascii="Poppins" w:eastAsia="Times New Roman" w:hAnsi="Poppins" w:cs="Arial"/>
                <w:b/>
                <w:bCs/>
                <w:color w:val="000000"/>
                <w:sz w:val="16"/>
                <w:szCs w:val="16"/>
                <w:lang w:eastAsia="it-IT"/>
              </w:rPr>
              <w:t>PATOLOGIA</w:t>
            </w:r>
          </w:p>
        </w:tc>
        <w:tc>
          <w:tcPr>
            <w:tcW w:w="656" w:type="pct"/>
            <w:tcBorders>
              <w:top w:val="single" w:sz="4" w:space="0" w:color="0000FF"/>
              <w:left w:val="single" w:sz="4" w:space="0" w:color="0000FF"/>
              <w:bottom w:val="single" w:sz="4" w:space="0" w:color="9BC2E6"/>
              <w:right w:val="single" w:sz="4" w:space="0" w:color="0000FF"/>
            </w:tcBorders>
            <w:shd w:val="clear" w:color="5B9BD5" w:fill="5B9BD5"/>
            <w:vAlign w:val="center"/>
            <w:hideMark/>
          </w:tcPr>
          <w:p w:rsidR="006A0CC8" w:rsidRPr="00FF378B" w:rsidRDefault="006A0CC8" w:rsidP="00131805">
            <w:pPr>
              <w:spacing w:after="0" w:line="240" w:lineRule="auto"/>
              <w:jc w:val="center"/>
              <w:rPr>
                <w:rFonts w:ascii="Poppins" w:eastAsia="Times New Roman" w:hAnsi="Poppins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F378B">
              <w:rPr>
                <w:rFonts w:ascii="Poppins" w:eastAsia="Times New Roman" w:hAnsi="Poppins" w:cs="Arial"/>
                <w:b/>
                <w:bCs/>
                <w:color w:val="000000"/>
                <w:sz w:val="16"/>
                <w:szCs w:val="16"/>
                <w:lang w:eastAsia="it-IT"/>
              </w:rPr>
              <w:t>UNITA' OPERATIVA</w:t>
            </w:r>
          </w:p>
        </w:tc>
        <w:tc>
          <w:tcPr>
            <w:tcW w:w="448" w:type="pct"/>
            <w:tcBorders>
              <w:top w:val="single" w:sz="4" w:space="0" w:color="0000FF"/>
              <w:left w:val="single" w:sz="4" w:space="0" w:color="0000FF"/>
              <w:bottom w:val="single" w:sz="4" w:space="0" w:color="9BC2E6"/>
              <w:right w:val="single" w:sz="4" w:space="0" w:color="0000FF"/>
            </w:tcBorders>
            <w:shd w:val="clear" w:color="5B9BD5" w:fill="5B9BD5"/>
            <w:vAlign w:val="center"/>
            <w:hideMark/>
          </w:tcPr>
          <w:p w:rsidR="006A0CC8" w:rsidRPr="00FF378B" w:rsidRDefault="006A0CC8" w:rsidP="00131805">
            <w:pPr>
              <w:spacing w:after="0" w:line="240" w:lineRule="auto"/>
              <w:jc w:val="center"/>
              <w:rPr>
                <w:rFonts w:ascii="Poppins" w:eastAsia="Times New Roman" w:hAnsi="Poppins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F378B">
              <w:rPr>
                <w:rFonts w:ascii="Poppins" w:eastAsia="Times New Roman" w:hAnsi="Poppins" w:cs="Arial"/>
                <w:b/>
                <w:bCs/>
                <w:color w:val="000000"/>
                <w:sz w:val="16"/>
                <w:szCs w:val="16"/>
                <w:lang w:eastAsia="it-IT"/>
              </w:rPr>
              <w:t>PARERE C</w:t>
            </w:r>
            <w:r>
              <w:rPr>
                <w:rFonts w:ascii="Poppins" w:eastAsia="Times New Roman" w:hAnsi="Poppins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omitato </w:t>
            </w:r>
            <w:r w:rsidRPr="00FF378B">
              <w:rPr>
                <w:rFonts w:ascii="Poppins" w:eastAsia="Times New Roman" w:hAnsi="Poppins" w:cs="Arial"/>
                <w:b/>
                <w:bCs/>
                <w:color w:val="000000"/>
                <w:sz w:val="16"/>
                <w:szCs w:val="16"/>
                <w:lang w:eastAsia="it-IT"/>
              </w:rPr>
              <w:t>E</w:t>
            </w:r>
            <w:r>
              <w:rPr>
                <w:rFonts w:ascii="Poppins" w:eastAsia="Times New Roman" w:hAnsi="Poppins" w:cs="Arial"/>
                <w:b/>
                <w:bCs/>
                <w:color w:val="000000"/>
                <w:sz w:val="16"/>
                <w:szCs w:val="16"/>
                <w:lang w:eastAsia="it-IT"/>
              </w:rPr>
              <w:t>tico</w:t>
            </w:r>
          </w:p>
        </w:tc>
        <w:tc>
          <w:tcPr>
            <w:tcW w:w="807" w:type="pct"/>
            <w:tcBorders>
              <w:top w:val="single" w:sz="4" w:space="0" w:color="0000FF"/>
              <w:left w:val="single" w:sz="4" w:space="0" w:color="0000FF"/>
              <w:bottom w:val="single" w:sz="4" w:space="0" w:color="9BC2E6"/>
              <w:right w:val="single" w:sz="4" w:space="0" w:color="0000FF"/>
            </w:tcBorders>
            <w:shd w:val="clear" w:color="5B9BD5" w:fill="5B9BD5"/>
            <w:vAlign w:val="center"/>
            <w:hideMark/>
          </w:tcPr>
          <w:p w:rsidR="006A0CC8" w:rsidRPr="00FF378B" w:rsidRDefault="006A0CC8" w:rsidP="00131805">
            <w:pPr>
              <w:spacing w:after="0" w:line="240" w:lineRule="auto"/>
              <w:jc w:val="center"/>
              <w:rPr>
                <w:rFonts w:ascii="Poppins" w:eastAsia="Times New Roman" w:hAnsi="Poppins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F378B">
              <w:rPr>
                <w:rFonts w:ascii="Poppins" w:eastAsia="Times New Roman" w:hAnsi="Poppins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DATA </w:t>
            </w:r>
            <w:r>
              <w:rPr>
                <w:rFonts w:ascii="Poppins" w:eastAsia="Times New Roman" w:hAnsi="Poppins" w:cs="Arial"/>
                <w:b/>
                <w:bCs/>
                <w:color w:val="000000"/>
                <w:sz w:val="16"/>
                <w:szCs w:val="16"/>
                <w:lang w:eastAsia="it-IT"/>
              </w:rPr>
              <w:t>APPROVAZONE</w:t>
            </w:r>
          </w:p>
        </w:tc>
      </w:tr>
      <w:tr w:rsidR="006A0CC8" w:rsidRPr="00FF378B" w:rsidTr="0005263E">
        <w:trPr>
          <w:trHeight w:val="858"/>
        </w:trPr>
        <w:tc>
          <w:tcPr>
            <w:tcW w:w="881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DDEBF7" w:fill="DDEBF7"/>
          </w:tcPr>
          <w:p w:rsidR="006A0CC8" w:rsidRPr="00DC5DCB" w:rsidRDefault="006A0CC8" w:rsidP="00131805">
            <w:pPr>
              <w:spacing w:after="0" w:line="240" w:lineRule="auto"/>
              <w:jc w:val="center"/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</w:pPr>
            <w:r w:rsidRPr="005A3F02"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  <w:t>ADT for SARS-CoV-2</w:t>
            </w:r>
          </w:p>
        </w:tc>
        <w:tc>
          <w:tcPr>
            <w:tcW w:w="1620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DDEBF7" w:fill="DDEBF7"/>
          </w:tcPr>
          <w:p w:rsidR="006A0CC8" w:rsidRPr="006A0CC8" w:rsidRDefault="006A0CC8" w:rsidP="00131805">
            <w:pPr>
              <w:spacing w:after="0" w:line="240" w:lineRule="auto"/>
              <w:jc w:val="center"/>
              <w:rPr>
                <w:rFonts w:ascii="Poppins" w:eastAsia="Times New Roman" w:hAnsi="Poppins" w:cs="Arial"/>
                <w:color w:val="000000"/>
                <w:sz w:val="16"/>
                <w:szCs w:val="16"/>
                <w:lang w:val="en-US" w:eastAsia="it-IT"/>
              </w:rPr>
            </w:pPr>
            <w:r w:rsidRPr="006A0CC8">
              <w:rPr>
                <w:rFonts w:ascii="Poppins" w:eastAsia="Times New Roman" w:hAnsi="Poppins" w:cs="Arial"/>
                <w:color w:val="000000"/>
                <w:sz w:val="16"/>
                <w:szCs w:val="16"/>
                <w:lang w:val="en-US" w:eastAsia="it-IT"/>
              </w:rPr>
              <w:t>Evaluation of antigenic diagnostic tests (ADT) performance for SARS-CoV-2 detection across different variants</w:t>
            </w:r>
          </w:p>
        </w:tc>
        <w:tc>
          <w:tcPr>
            <w:tcW w:w="588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DDEBF7" w:fill="DDEBF7"/>
            <w:vAlign w:val="center"/>
          </w:tcPr>
          <w:p w:rsidR="006A0CC8" w:rsidRPr="00FF14C8" w:rsidRDefault="006A0CC8" w:rsidP="00131805">
            <w:pPr>
              <w:spacing w:after="0" w:line="240" w:lineRule="auto"/>
              <w:jc w:val="center"/>
              <w:rPr>
                <w:rFonts w:ascii="Poppins" w:eastAsia="Times New Roman" w:hAnsi="Poppins" w:cs="Arial"/>
                <w:color w:val="000000"/>
                <w:sz w:val="16"/>
                <w:szCs w:val="16"/>
                <w:lang w:val="en-US" w:eastAsia="it-IT"/>
              </w:rPr>
            </w:pPr>
            <w:r>
              <w:rPr>
                <w:rFonts w:ascii="Poppins" w:eastAsia="Times New Roman" w:hAnsi="Poppins" w:cs="Arial"/>
                <w:color w:val="000000"/>
                <w:sz w:val="16"/>
                <w:szCs w:val="16"/>
                <w:lang w:val="en-US" w:eastAsia="it-IT"/>
              </w:rPr>
              <w:t>COVID-19</w:t>
            </w:r>
          </w:p>
        </w:tc>
        <w:tc>
          <w:tcPr>
            <w:tcW w:w="656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DDEBF7" w:fill="DDEBF7"/>
            <w:vAlign w:val="center"/>
          </w:tcPr>
          <w:p w:rsidR="006A0CC8" w:rsidRPr="00FF378B" w:rsidRDefault="006A0CC8" w:rsidP="00131805">
            <w:pPr>
              <w:spacing w:after="0" w:line="240" w:lineRule="auto"/>
              <w:jc w:val="center"/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</w:pPr>
            <w:r w:rsidRPr="00B54025"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  <w:t>DITM</w:t>
            </w:r>
          </w:p>
        </w:tc>
        <w:tc>
          <w:tcPr>
            <w:tcW w:w="448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DDEBF7" w:fill="DDEBF7"/>
            <w:vAlign w:val="center"/>
          </w:tcPr>
          <w:p w:rsidR="006A0CC8" w:rsidRPr="00FF378B" w:rsidRDefault="006A0CC8" w:rsidP="00131805">
            <w:pPr>
              <w:spacing w:after="0" w:line="240" w:lineRule="auto"/>
              <w:jc w:val="center"/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</w:pPr>
            <w:r w:rsidRPr="00FF378B"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  <w:t>Studio Approvato</w:t>
            </w:r>
          </w:p>
        </w:tc>
        <w:tc>
          <w:tcPr>
            <w:tcW w:w="807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DDEBF7" w:fill="DDEBF7"/>
            <w:vAlign w:val="center"/>
          </w:tcPr>
          <w:p w:rsidR="006A0CC8" w:rsidRPr="00FF378B" w:rsidRDefault="006A0CC8" w:rsidP="00131805">
            <w:pPr>
              <w:spacing w:after="0" w:line="240" w:lineRule="auto"/>
              <w:jc w:val="center"/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</w:pPr>
            <w:r w:rsidRPr="00FF14C8"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  <w:t>24/01/2024</w:t>
            </w:r>
          </w:p>
        </w:tc>
      </w:tr>
      <w:tr w:rsidR="006A0CC8" w:rsidRPr="00FF378B" w:rsidTr="0005263E">
        <w:trPr>
          <w:trHeight w:val="858"/>
        </w:trPr>
        <w:tc>
          <w:tcPr>
            <w:tcW w:w="881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6A0CC8" w:rsidRPr="00FF378B" w:rsidRDefault="006A0CC8" w:rsidP="00131805">
            <w:pPr>
              <w:spacing w:after="0" w:line="240" w:lineRule="auto"/>
              <w:jc w:val="center"/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5A3F02"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  <w:t>QIAstat</w:t>
            </w:r>
            <w:proofErr w:type="spellEnd"/>
            <w:r w:rsidRPr="005A3F02"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5A3F02"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  <w:t>study</w:t>
            </w:r>
            <w:proofErr w:type="spellEnd"/>
          </w:p>
        </w:tc>
        <w:tc>
          <w:tcPr>
            <w:tcW w:w="1620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6A0CC8" w:rsidRPr="006A0CC8" w:rsidRDefault="006A0CC8" w:rsidP="00131805">
            <w:pPr>
              <w:spacing w:after="0" w:line="240" w:lineRule="auto"/>
              <w:jc w:val="center"/>
              <w:rPr>
                <w:rFonts w:ascii="Poppins" w:eastAsia="Times New Roman" w:hAnsi="Poppins" w:cs="Arial"/>
                <w:color w:val="000000"/>
                <w:sz w:val="16"/>
                <w:szCs w:val="16"/>
                <w:lang w:val="en-US" w:eastAsia="it-IT"/>
              </w:rPr>
            </w:pPr>
            <w:r w:rsidRPr="006A0CC8">
              <w:rPr>
                <w:rFonts w:ascii="Poppins" w:eastAsia="Times New Roman" w:hAnsi="Poppins" w:cs="Arial"/>
                <w:color w:val="000000"/>
                <w:sz w:val="16"/>
                <w:szCs w:val="16"/>
                <w:lang w:val="en-US" w:eastAsia="it-IT"/>
              </w:rPr>
              <w:t>Evaluation of QIAstat-DX gastrointestinal syndromic panel compared to bacterial culture and rotavirus-adenovirus antigen detection test.</w:t>
            </w:r>
          </w:p>
        </w:tc>
        <w:tc>
          <w:tcPr>
            <w:tcW w:w="588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6A0CC8" w:rsidRPr="00FF14C8" w:rsidRDefault="006A0CC8" w:rsidP="00131805">
            <w:pPr>
              <w:spacing w:after="0" w:line="240" w:lineRule="auto"/>
              <w:jc w:val="center"/>
              <w:rPr>
                <w:rFonts w:ascii="Poppins" w:eastAsia="Times New Roman" w:hAnsi="Poppins" w:cs="Arial"/>
                <w:color w:val="000000"/>
                <w:sz w:val="16"/>
                <w:szCs w:val="16"/>
                <w:lang w:val="en-US" w:eastAsia="it-IT"/>
              </w:rPr>
            </w:pPr>
            <w:proofErr w:type="spellStart"/>
            <w:r>
              <w:rPr>
                <w:rFonts w:ascii="Poppins" w:eastAsia="Times New Roman" w:hAnsi="Poppins" w:cs="Arial"/>
                <w:color w:val="000000"/>
                <w:sz w:val="16"/>
                <w:szCs w:val="16"/>
                <w:lang w:val="en-US" w:eastAsia="it-IT"/>
              </w:rPr>
              <w:t>Malattie</w:t>
            </w:r>
            <w:proofErr w:type="spellEnd"/>
            <w:r>
              <w:rPr>
                <w:rFonts w:ascii="Poppins" w:eastAsia="Times New Roman" w:hAnsi="Poppins" w:cs="Arial"/>
                <w:color w:val="000000"/>
                <w:sz w:val="16"/>
                <w:szCs w:val="16"/>
                <w:lang w:val="en-US" w:eastAsia="it-IT"/>
              </w:rPr>
              <w:t xml:space="preserve"> </w:t>
            </w:r>
            <w:proofErr w:type="spellStart"/>
            <w:r>
              <w:rPr>
                <w:rFonts w:ascii="Poppins" w:eastAsia="Times New Roman" w:hAnsi="Poppins" w:cs="Arial"/>
                <w:color w:val="000000"/>
                <w:sz w:val="16"/>
                <w:szCs w:val="16"/>
                <w:lang w:val="en-US" w:eastAsia="it-IT"/>
              </w:rPr>
              <w:t>Infettive</w:t>
            </w:r>
            <w:proofErr w:type="spellEnd"/>
          </w:p>
        </w:tc>
        <w:tc>
          <w:tcPr>
            <w:tcW w:w="656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6A0CC8" w:rsidRPr="00FF378B" w:rsidRDefault="006A0CC8" w:rsidP="00131805">
            <w:pPr>
              <w:spacing w:after="0" w:line="240" w:lineRule="auto"/>
              <w:jc w:val="center"/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</w:pPr>
            <w:r w:rsidRPr="00B54025"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  <w:t>DITM</w:t>
            </w:r>
          </w:p>
        </w:tc>
        <w:tc>
          <w:tcPr>
            <w:tcW w:w="448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6A0CC8" w:rsidRPr="00FF378B" w:rsidRDefault="006A0CC8" w:rsidP="00131805">
            <w:pPr>
              <w:spacing w:after="0" w:line="240" w:lineRule="auto"/>
              <w:jc w:val="center"/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</w:pPr>
            <w:r w:rsidRPr="00FF378B"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  <w:t>Studio Approvato</w:t>
            </w:r>
          </w:p>
        </w:tc>
        <w:tc>
          <w:tcPr>
            <w:tcW w:w="807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6A0CC8" w:rsidRPr="00FF378B" w:rsidRDefault="006A0CC8" w:rsidP="00131805">
            <w:pPr>
              <w:spacing w:after="0" w:line="240" w:lineRule="auto"/>
              <w:jc w:val="center"/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</w:pPr>
            <w:r w:rsidRPr="00FF14C8"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  <w:t>25/09/2024</w:t>
            </w:r>
          </w:p>
        </w:tc>
      </w:tr>
      <w:tr w:rsidR="006A0CC8" w:rsidRPr="00FF378B" w:rsidTr="0005263E">
        <w:trPr>
          <w:trHeight w:val="858"/>
        </w:trPr>
        <w:tc>
          <w:tcPr>
            <w:tcW w:w="881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DDEBF7" w:fill="DDEBF7"/>
          </w:tcPr>
          <w:p w:rsidR="006A0CC8" w:rsidRPr="00FF378B" w:rsidRDefault="006A0CC8" w:rsidP="00131805">
            <w:pPr>
              <w:spacing w:after="0" w:line="240" w:lineRule="auto"/>
              <w:jc w:val="center"/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5A3F02"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  <w:t>SchistACT</w:t>
            </w:r>
            <w:proofErr w:type="spellEnd"/>
            <w:r w:rsidRPr="005A3F02"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  <w:t xml:space="preserve"> (</w:t>
            </w:r>
            <w:proofErr w:type="spellStart"/>
            <w:r w:rsidRPr="005A3F02"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  <w:t>Schistosomiasis</w:t>
            </w:r>
            <w:proofErr w:type="spellEnd"/>
            <w:r w:rsidRPr="005A3F02"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5A3F02"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  <w:t>ACTive</w:t>
            </w:r>
            <w:proofErr w:type="spellEnd"/>
            <w:r w:rsidRPr="005A3F02"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  <w:t xml:space="preserve"> &amp; </w:t>
            </w:r>
            <w:proofErr w:type="spellStart"/>
            <w:r w:rsidRPr="005A3F02"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  <w:t>ACTion</w:t>
            </w:r>
            <w:proofErr w:type="spellEnd"/>
            <w:r w:rsidRPr="005A3F02"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620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DDEBF7" w:fill="DDEBF7"/>
          </w:tcPr>
          <w:p w:rsidR="006A0CC8" w:rsidRPr="006A0CC8" w:rsidRDefault="006A0CC8" w:rsidP="00131805">
            <w:pPr>
              <w:spacing w:after="0" w:line="240" w:lineRule="auto"/>
              <w:jc w:val="center"/>
              <w:rPr>
                <w:rFonts w:ascii="Poppins" w:eastAsia="Times New Roman" w:hAnsi="Poppins" w:cs="Arial"/>
                <w:color w:val="000000"/>
                <w:sz w:val="16"/>
                <w:szCs w:val="16"/>
                <w:lang w:val="en-US" w:eastAsia="it-IT"/>
              </w:rPr>
            </w:pPr>
            <w:r w:rsidRPr="006A0CC8">
              <w:rPr>
                <w:rFonts w:ascii="Poppins" w:eastAsia="Times New Roman" w:hAnsi="Poppins" w:cs="Arial"/>
                <w:color w:val="000000"/>
                <w:sz w:val="16"/>
                <w:szCs w:val="16"/>
                <w:lang w:val="en-US" w:eastAsia="it-IT"/>
              </w:rPr>
              <w:t>Assessment of infection activity in travelers and migrants diagnosed with chronic schistosomiasis: a multicentric prospective cohort study</w:t>
            </w:r>
          </w:p>
        </w:tc>
        <w:tc>
          <w:tcPr>
            <w:tcW w:w="588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DDEBF7" w:fill="DDEBF7"/>
            <w:vAlign w:val="center"/>
          </w:tcPr>
          <w:p w:rsidR="006A0CC8" w:rsidRPr="005A3F02" w:rsidRDefault="006A0CC8" w:rsidP="00131805">
            <w:pPr>
              <w:spacing w:after="0" w:line="240" w:lineRule="auto"/>
              <w:jc w:val="center"/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</w:pPr>
            <w:r w:rsidRPr="005A3F02"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  <w:t>Schistosomiasi</w:t>
            </w:r>
          </w:p>
        </w:tc>
        <w:tc>
          <w:tcPr>
            <w:tcW w:w="656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DDEBF7" w:fill="DDEBF7"/>
            <w:vAlign w:val="center"/>
          </w:tcPr>
          <w:p w:rsidR="006A0CC8" w:rsidRPr="00FF378B" w:rsidRDefault="006A0CC8" w:rsidP="00131805">
            <w:pPr>
              <w:spacing w:after="0" w:line="240" w:lineRule="auto"/>
              <w:jc w:val="center"/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</w:pPr>
            <w:r w:rsidRPr="00B54025"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  <w:t>DITM</w:t>
            </w:r>
          </w:p>
        </w:tc>
        <w:tc>
          <w:tcPr>
            <w:tcW w:w="448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DDEBF7" w:fill="DDEBF7"/>
            <w:vAlign w:val="center"/>
          </w:tcPr>
          <w:p w:rsidR="006A0CC8" w:rsidRPr="00FF378B" w:rsidRDefault="006A0CC8" w:rsidP="00131805">
            <w:pPr>
              <w:spacing w:after="0" w:line="240" w:lineRule="auto"/>
              <w:jc w:val="center"/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</w:pPr>
            <w:r w:rsidRPr="00FF378B"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  <w:t>Studio Approvato</w:t>
            </w:r>
          </w:p>
        </w:tc>
        <w:tc>
          <w:tcPr>
            <w:tcW w:w="807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DDEBF7" w:fill="DDEBF7"/>
            <w:vAlign w:val="center"/>
          </w:tcPr>
          <w:p w:rsidR="006A0CC8" w:rsidRPr="00FF378B" w:rsidRDefault="006A0CC8" w:rsidP="00131805">
            <w:pPr>
              <w:spacing w:after="0" w:line="240" w:lineRule="auto"/>
              <w:jc w:val="center"/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</w:pPr>
            <w:r w:rsidRPr="00FF14C8"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  <w:t>07/06/2024</w:t>
            </w:r>
          </w:p>
        </w:tc>
      </w:tr>
      <w:tr w:rsidR="006A0CC8" w:rsidRPr="00FF378B" w:rsidTr="0005263E">
        <w:trPr>
          <w:trHeight w:val="858"/>
        </w:trPr>
        <w:tc>
          <w:tcPr>
            <w:tcW w:w="881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6A0CC8" w:rsidRPr="00FF378B" w:rsidRDefault="006A0CC8" w:rsidP="00131805">
            <w:pPr>
              <w:spacing w:after="0" w:line="240" w:lineRule="auto"/>
              <w:jc w:val="center"/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</w:pPr>
            <w:r w:rsidRPr="005A3F02"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  <w:t>TICKTOK</w:t>
            </w:r>
          </w:p>
        </w:tc>
        <w:tc>
          <w:tcPr>
            <w:tcW w:w="1620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6A0CC8" w:rsidRPr="006A0CC8" w:rsidRDefault="006A0CC8" w:rsidP="00131805">
            <w:pPr>
              <w:spacing w:after="0" w:line="240" w:lineRule="auto"/>
              <w:jc w:val="center"/>
              <w:rPr>
                <w:rFonts w:ascii="Poppins" w:eastAsia="Times New Roman" w:hAnsi="Poppins" w:cs="Arial"/>
                <w:color w:val="000000"/>
                <w:sz w:val="16"/>
                <w:szCs w:val="16"/>
                <w:lang w:val="en-US" w:eastAsia="it-IT"/>
              </w:rPr>
            </w:pPr>
            <w:r w:rsidRPr="006A0CC8">
              <w:rPr>
                <w:rFonts w:ascii="Poppins" w:eastAsia="Times New Roman" w:hAnsi="Poppins" w:cs="Arial"/>
                <w:color w:val="000000"/>
                <w:sz w:val="16"/>
                <w:szCs w:val="16"/>
                <w:lang w:val="en-US" w:eastAsia="it-IT"/>
              </w:rPr>
              <w:t>Insights into tick-borne diseases: a prospective study from an endemic area of northern italy</w:t>
            </w:r>
          </w:p>
        </w:tc>
        <w:tc>
          <w:tcPr>
            <w:tcW w:w="588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6A0CC8" w:rsidRPr="005A3F02" w:rsidRDefault="006A0CC8" w:rsidP="00131805">
            <w:pPr>
              <w:spacing w:after="0" w:line="240" w:lineRule="auto"/>
              <w:jc w:val="center"/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</w:pPr>
            <w:r w:rsidRPr="005A3F02"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  <w:t>Mal</w:t>
            </w:r>
            <w:r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  <w:t>a</w:t>
            </w:r>
            <w:r w:rsidRPr="005A3F02"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  <w:t>ttie Infettive</w:t>
            </w:r>
          </w:p>
        </w:tc>
        <w:tc>
          <w:tcPr>
            <w:tcW w:w="656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6A0CC8" w:rsidRPr="00FF378B" w:rsidRDefault="006A0CC8" w:rsidP="00131805">
            <w:pPr>
              <w:spacing w:after="0" w:line="240" w:lineRule="auto"/>
              <w:jc w:val="center"/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</w:pPr>
            <w:r w:rsidRPr="00B54025"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  <w:t>DITM</w:t>
            </w:r>
          </w:p>
        </w:tc>
        <w:tc>
          <w:tcPr>
            <w:tcW w:w="448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6A0CC8" w:rsidRPr="00FF378B" w:rsidRDefault="006A0CC8" w:rsidP="00131805">
            <w:pPr>
              <w:spacing w:after="0" w:line="240" w:lineRule="auto"/>
              <w:jc w:val="center"/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</w:pPr>
            <w:r w:rsidRPr="00FF378B"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  <w:t>Studio Approvato</w:t>
            </w:r>
          </w:p>
        </w:tc>
        <w:tc>
          <w:tcPr>
            <w:tcW w:w="807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6A0CC8" w:rsidRPr="00FF378B" w:rsidRDefault="006A0CC8" w:rsidP="00131805">
            <w:pPr>
              <w:spacing w:after="0" w:line="240" w:lineRule="auto"/>
              <w:jc w:val="center"/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</w:pPr>
            <w:r w:rsidRPr="00FF14C8"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  <w:t>20/03/2024</w:t>
            </w:r>
          </w:p>
        </w:tc>
      </w:tr>
      <w:tr w:rsidR="006A0CC8" w:rsidRPr="00FF378B" w:rsidTr="0005263E">
        <w:trPr>
          <w:trHeight w:val="858"/>
        </w:trPr>
        <w:tc>
          <w:tcPr>
            <w:tcW w:w="881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DDEBF7" w:fill="DDEBF7"/>
          </w:tcPr>
          <w:p w:rsidR="006A0CC8" w:rsidRPr="00FF378B" w:rsidRDefault="006A0CC8" w:rsidP="00131805">
            <w:pPr>
              <w:spacing w:after="0" w:line="240" w:lineRule="auto"/>
              <w:jc w:val="center"/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</w:pPr>
            <w:r w:rsidRPr="005A3F02"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  <w:t>PROTOSS</w:t>
            </w:r>
          </w:p>
        </w:tc>
        <w:tc>
          <w:tcPr>
            <w:tcW w:w="1620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DDEBF7" w:fill="DDEBF7"/>
          </w:tcPr>
          <w:p w:rsidR="006A0CC8" w:rsidRPr="006A0CC8" w:rsidRDefault="006A0CC8" w:rsidP="00131805">
            <w:pPr>
              <w:spacing w:after="0" w:line="240" w:lineRule="auto"/>
              <w:jc w:val="center"/>
              <w:rPr>
                <w:rFonts w:ascii="Poppins" w:eastAsia="Times New Roman" w:hAnsi="Poppins" w:cs="Arial"/>
                <w:color w:val="000000"/>
                <w:sz w:val="16"/>
                <w:szCs w:val="16"/>
                <w:lang w:val="en-US" w:eastAsia="it-IT"/>
              </w:rPr>
            </w:pPr>
            <w:r w:rsidRPr="006A0CC8">
              <w:rPr>
                <w:rFonts w:ascii="Poppins" w:eastAsia="Times New Roman" w:hAnsi="Poppins" w:cs="Arial"/>
                <w:color w:val="000000"/>
                <w:sz w:val="16"/>
                <w:szCs w:val="16"/>
                <w:lang w:val="en-US" w:eastAsia="it-IT"/>
              </w:rPr>
              <w:t>Preliminary evaluation of two rapid diagnostic test prototypes for strongyloides stercoralis infection</w:t>
            </w:r>
          </w:p>
        </w:tc>
        <w:tc>
          <w:tcPr>
            <w:tcW w:w="588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DDEBF7" w:fill="DDEBF7"/>
            <w:vAlign w:val="center"/>
          </w:tcPr>
          <w:p w:rsidR="006A0CC8" w:rsidRPr="005A3F02" w:rsidRDefault="006A0CC8" w:rsidP="00131805">
            <w:pPr>
              <w:spacing w:after="0" w:line="240" w:lineRule="auto"/>
              <w:jc w:val="center"/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</w:pPr>
            <w:proofErr w:type="spellStart"/>
            <w:r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  <w:t>Strongiloidosi</w:t>
            </w:r>
            <w:proofErr w:type="spellEnd"/>
          </w:p>
        </w:tc>
        <w:tc>
          <w:tcPr>
            <w:tcW w:w="656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DDEBF7" w:fill="DDEBF7"/>
            <w:vAlign w:val="center"/>
          </w:tcPr>
          <w:p w:rsidR="006A0CC8" w:rsidRPr="00FF378B" w:rsidRDefault="006A0CC8" w:rsidP="00131805">
            <w:pPr>
              <w:spacing w:after="0" w:line="240" w:lineRule="auto"/>
              <w:jc w:val="center"/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</w:pPr>
            <w:r w:rsidRPr="00B54025"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  <w:t>DITM</w:t>
            </w:r>
          </w:p>
        </w:tc>
        <w:tc>
          <w:tcPr>
            <w:tcW w:w="448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DDEBF7" w:fill="DDEBF7"/>
            <w:vAlign w:val="center"/>
          </w:tcPr>
          <w:p w:rsidR="006A0CC8" w:rsidRPr="00FF378B" w:rsidRDefault="006A0CC8" w:rsidP="00131805">
            <w:pPr>
              <w:spacing w:after="0" w:line="240" w:lineRule="auto"/>
              <w:jc w:val="center"/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</w:pPr>
            <w:r w:rsidRPr="00FF378B"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  <w:t>Studio Approvato</w:t>
            </w:r>
          </w:p>
        </w:tc>
        <w:tc>
          <w:tcPr>
            <w:tcW w:w="807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DDEBF7" w:fill="DDEBF7"/>
            <w:vAlign w:val="center"/>
          </w:tcPr>
          <w:p w:rsidR="006A0CC8" w:rsidRPr="00FF378B" w:rsidRDefault="006A0CC8" w:rsidP="00131805">
            <w:pPr>
              <w:spacing w:after="0" w:line="240" w:lineRule="auto"/>
              <w:jc w:val="center"/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</w:pPr>
            <w:r w:rsidRPr="00FF14C8"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  <w:t>03/04/2024</w:t>
            </w:r>
          </w:p>
        </w:tc>
      </w:tr>
      <w:tr w:rsidR="006A0CC8" w:rsidRPr="00FF378B" w:rsidTr="0005263E">
        <w:trPr>
          <w:trHeight w:val="858"/>
        </w:trPr>
        <w:tc>
          <w:tcPr>
            <w:tcW w:w="881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6A0CC8" w:rsidRPr="00FF378B" w:rsidRDefault="006A0CC8" w:rsidP="00131805">
            <w:pPr>
              <w:spacing w:after="0" w:line="240" w:lineRule="auto"/>
              <w:jc w:val="center"/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5A3F02"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  <w:t>LeishTOS</w:t>
            </w:r>
            <w:proofErr w:type="spellEnd"/>
          </w:p>
        </w:tc>
        <w:tc>
          <w:tcPr>
            <w:tcW w:w="1620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6A0CC8" w:rsidRPr="006A0CC8" w:rsidRDefault="006A0CC8" w:rsidP="00131805">
            <w:pPr>
              <w:spacing w:after="0" w:line="240" w:lineRule="auto"/>
              <w:jc w:val="center"/>
              <w:rPr>
                <w:rFonts w:ascii="Poppins" w:eastAsia="Times New Roman" w:hAnsi="Poppins" w:cs="Arial"/>
                <w:color w:val="000000"/>
                <w:sz w:val="16"/>
                <w:szCs w:val="16"/>
                <w:lang w:val="en-US" w:eastAsia="it-IT"/>
              </w:rPr>
            </w:pPr>
            <w:r w:rsidRPr="006A0CC8">
              <w:rPr>
                <w:rFonts w:ascii="Poppins" w:eastAsia="Times New Roman" w:hAnsi="Poppins" w:cs="Arial"/>
                <w:color w:val="000000"/>
                <w:sz w:val="16"/>
                <w:szCs w:val="16"/>
                <w:lang w:val="en-US" w:eastAsia="it-IT"/>
              </w:rPr>
              <w:t>Seroprevalence of antibodies against Phlebotomus-borne disease in the population of Verona and province</w:t>
            </w:r>
          </w:p>
        </w:tc>
        <w:tc>
          <w:tcPr>
            <w:tcW w:w="588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6A0CC8" w:rsidRPr="00FF14C8" w:rsidRDefault="006A0CC8" w:rsidP="00131805">
            <w:pPr>
              <w:spacing w:after="0" w:line="240" w:lineRule="auto"/>
              <w:jc w:val="center"/>
              <w:rPr>
                <w:rFonts w:ascii="Poppins" w:eastAsia="Times New Roman" w:hAnsi="Poppins" w:cs="Arial"/>
                <w:color w:val="000000"/>
                <w:sz w:val="16"/>
                <w:szCs w:val="16"/>
                <w:lang w:val="en-US" w:eastAsia="it-IT"/>
              </w:rPr>
            </w:pPr>
            <w:proofErr w:type="spellStart"/>
            <w:r>
              <w:rPr>
                <w:rFonts w:ascii="Poppins" w:eastAsia="Times New Roman" w:hAnsi="Poppins" w:cs="Arial"/>
                <w:color w:val="000000"/>
                <w:sz w:val="16"/>
                <w:szCs w:val="16"/>
                <w:lang w:val="en-US" w:eastAsia="it-IT"/>
              </w:rPr>
              <w:t>Malattie</w:t>
            </w:r>
            <w:proofErr w:type="spellEnd"/>
            <w:r>
              <w:rPr>
                <w:rFonts w:ascii="Poppins" w:eastAsia="Times New Roman" w:hAnsi="Poppins" w:cs="Arial"/>
                <w:color w:val="000000"/>
                <w:sz w:val="16"/>
                <w:szCs w:val="16"/>
                <w:lang w:val="en-US" w:eastAsia="it-IT"/>
              </w:rPr>
              <w:t xml:space="preserve"> </w:t>
            </w:r>
            <w:proofErr w:type="spellStart"/>
            <w:r>
              <w:rPr>
                <w:rFonts w:ascii="Poppins" w:eastAsia="Times New Roman" w:hAnsi="Poppins" w:cs="Arial"/>
                <w:color w:val="000000"/>
                <w:sz w:val="16"/>
                <w:szCs w:val="16"/>
                <w:lang w:val="en-US" w:eastAsia="it-IT"/>
              </w:rPr>
              <w:t>Infettive</w:t>
            </w:r>
            <w:proofErr w:type="spellEnd"/>
          </w:p>
        </w:tc>
        <w:tc>
          <w:tcPr>
            <w:tcW w:w="656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6A0CC8" w:rsidRPr="00FF378B" w:rsidRDefault="006A0CC8" w:rsidP="00131805">
            <w:pPr>
              <w:spacing w:after="0" w:line="240" w:lineRule="auto"/>
              <w:jc w:val="center"/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</w:pPr>
            <w:r w:rsidRPr="00B54025"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  <w:t>DITM</w:t>
            </w:r>
          </w:p>
        </w:tc>
        <w:tc>
          <w:tcPr>
            <w:tcW w:w="448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6A0CC8" w:rsidRPr="00FF378B" w:rsidRDefault="006A0CC8" w:rsidP="00131805">
            <w:pPr>
              <w:spacing w:after="0" w:line="240" w:lineRule="auto"/>
              <w:jc w:val="center"/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</w:pPr>
            <w:r w:rsidRPr="00FF378B"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  <w:t>Studio Approvato</w:t>
            </w:r>
          </w:p>
        </w:tc>
        <w:tc>
          <w:tcPr>
            <w:tcW w:w="807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6A0CC8" w:rsidRPr="00FF378B" w:rsidRDefault="006A0CC8" w:rsidP="00131805">
            <w:pPr>
              <w:spacing w:after="0" w:line="240" w:lineRule="auto"/>
              <w:jc w:val="center"/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</w:pPr>
            <w:r w:rsidRPr="00FF14C8"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  <w:t>10/07/2024</w:t>
            </w:r>
          </w:p>
        </w:tc>
      </w:tr>
      <w:tr w:rsidR="006A0CC8" w:rsidRPr="00FF378B" w:rsidTr="0005263E">
        <w:trPr>
          <w:trHeight w:val="858"/>
        </w:trPr>
        <w:tc>
          <w:tcPr>
            <w:tcW w:w="881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DDEBF7" w:fill="DDEBF7"/>
          </w:tcPr>
          <w:p w:rsidR="006A0CC8" w:rsidRPr="00FF378B" w:rsidRDefault="006A0CC8" w:rsidP="00131805">
            <w:pPr>
              <w:spacing w:after="0" w:line="240" w:lineRule="auto"/>
              <w:jc w:val="center"/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5A3F02"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  <w:t>ScreenID</w:t>
            </w:r>
            <w:proofErr w:type="spellEnd"/>
          </w:p>
        </w:tc>
        <w:tc>
          <w:tcPr>
            <w:tcW w:w="1620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DDEBF7" w:fill="DDEBF7"/>
          </w:tcPr>
          <w:p w:rsidR="006A0CC8" w:rsidRPr="006A0CC8" w:rsidRDefault="006A0CC8" w:rsidP="00131805">
            <w:pPr>
              <w:spacing w:after="0" w:line="240" w:lineRule="auto"/>
              <w:jc w:val="center"/>
              <w:rPr>
                <w:rFonts w:ascii="Poppins" w:eastAsia="Times New Roman" w:hAnsi="Poppins" w:cs="Arial"/>
                <w:color w:val="000000"/>
                <w:sz w:val="16"/>
                <w:szCs w:val="16"/>
                <w:lang w:val="en-US" w:eastAsia="it-IT"/>
              </w:rPr>
            </w:pPr>
            <w:r w:rsidRPr="006A0CC8">
              <w:rPr>
                <w:rFonts w:ascii="Poppins" w:eastAsia="Times New Roman" w:hAnsi="Poppins" w:cs="Arial"/>
                <w:color w:val="000000"/>
                <w:sz w:val="16"/>
                <w:szCs w:val="16"/>
                <w:lang w:val="en-US" w:eastAsia="it-IT"/>
              </w:rPr>
              <w:t>Extended screening for infectious diseases among newly-arrived migrants from Africa and Asia, Verona province, Italy, January 2023 to May 2024, and comparison with prevalence data related to 2014-2015</w:t>
            </w:r>
          </w:p>
        </w:tc>
        <w:tc>
          <w:tcPr>
            <w:tcW w:w="588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DDEBF7" w:fill="DDEBF7"/>
            <w:vAlign w:val="center"/>
          </w:tcPr>
          <w:p w:rsidR="006A0CC8" w:rsidRPr="00FF14C8" w:rsidRDefault="006A0CC8" w:rsidP="00131805">
            <w:pPr>
              <w:spacing w:after="0" w:line="240" w:lineRule="auto"/>
              <w:jc w:val="center"/>
              <w:rPr>
                <w:rFonts w:ascii="Poppins" w:eastAsia="Times New Roman" w:hAnsi="Poppins" w:cs="Arial"/>
                <w:color w:val="000000"/>
                <w:sz w:val="16"/>
                <w:szCs w:val="16"/>
                <w:lang w:val="en-US" w:eastAsia="it-IT"/>
              </w:rPr>
            </w:pPr>
            <w:proofErr w:type="spellStart"/>
            <w:r>
              <w:rPr>
                <w:rFonts w:ascii="Poppins" w:eastAsia="Times New Roman" w:hAnsi="Poppins" w:cs="Arial"/>
                <w:color w:val="000000"/>
                <w:sz w:val="16"/>
                <w:szCs w:val="16"/>
                <w:lang w:val="en-US" w:eastAsia="it-IT"/>
              </w:rPr>
              <w:t>Malattie</w:t>
            </w:r>
            <w:proofErr w:type="spellEnd"/>
            <w:r>
              <w:rPr>
                <w:rFonts w:ascii="Poppins" w:eastAsia="Times New Roman" w:hAnsi="Poppins" w:cs="Arial"/>
                <w:color w:val="000000"/>
                <w:sz w:val="16"/>
                <w:szCs w:val="16"/>
                <w:lang w:val="en-US" w:eastAsia="it-IT"/>
              </w:rPr>
              <w:t xml:space="preserve"> </w:t>
            </w:r>
            <w:proofErr w:type="spellStart"/>
            <w:r>
              <w:rPr>
                <w:rFonts w:ascii="Poppins" w:eastAsia="Times New Roman" w:hAnsi="Poppins" w:cs="Arial"/>
                <w:color w:val="000000"/>
                <w:sz w:val="16"/>
                <w:szCs w:val="16"/>
                <w:lang w:val="en-US" w:eastAsia="it-IT"/>
              </w:rPr>
              <w:t>Infettive</w:t>
            </w:r>
            <w:proofErr w:type="spellEnd"/>
          </w:p>
        </w:tc>
        <w:tc>
          <w:tcPr>
            <w:tcW w:w="656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DDEBF7" w:fill="DDEBF7"/>
            <w:vAlign w:val="center"/>
          </w:tcPr>
          <w:p w:rsidR="006A0CC8" w:rsidRPr="00FF378B" w:rsidRDefault="006A0CC8" w:rsidP="00131805">
            <w:pPr>
              <w:spacing w:after="0" w:line="240" w:lineRule="auto"/>
              <w:jc w:val="center"/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</w:pPr>
            <w:r w:rsidRPr="00B54025"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  <w:t>DITM</w:t>
            </w:r>
          </w:p>
        </w:tc>
        <w:tc>
          <w:tcPr>
            <w:tcW w:w="448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DDEBF7" w:fill="DDEBF7"/>
            <w:vAlign w:val="center"/>
          </w:tcPr>
          <w:p w:rsidR="006A0CC8" w:rsidRPr="00FF378B" w:rsidRDefault="006A0CC8" w:rsidP="00131805">
            <w:pPr>
              <w:spacing w:after="0" w:line="240" w:lineRule="auto"/>
              <w:jc w:val="center"/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</w:pPr>
            <w:r w:rsidRPr="00FF378B"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  <w:t>Studio Approvato</w:t>
            </w:r>
          </w:p>
        </w:tc>
        <w:tc>
          <w:tcPr>
            <w:tcW w:w="807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DDEBF7" w:fill="DDEBF7"/>
            <w:vAlign w:val="center"/>
          </w:tcPr>
          <w:p w:rsidR="006A0CC8" w:rsidRPr="00FF378B" w:rsidRDefault="006A0CC8" w:rsidP="00131805">
            <w:pPr>
              <w:spacing w:after="0" w:line="240" w:lineRule="auto"/>
              <w:jc w:val="center"/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</w:pPr>
            <w:r w:rsidRPr="00FF14C8"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  <w:t>02/07/2024</w:t>
            </w:r>
          </w:p>
        </w:tc>
      </w:tr>
      <w:tr w:rsidR="006A0CC8" w:rsidRPr="00FF378B" w:rsidTr="0005263E">
        <w:trPr>
          <w:trHeight w:val="858"/>
        </w:trPr>
        <w:tc>
          <w:tcPr>
            <w:tcW w:w="881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6A0CC8" w:rsidRPr="00FF378B" w:rsidRDefault="006A0CC8" w:rsidP="00131805">
            <w:pPr>
              <w:spacing w:after="0" w:line="240" w:lineRule="auto"/>
              <w:jc w:val="center"/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</w:pPr>
            <w:r w:rsidRPr="005A3F02"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  <w:t>OROVIMM</w:t>
            </w:r>
          </w:p>
        </w:tc>
        <w:tc>
          <w:tcPr>
            <w:tcW w:w="1620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6A0CC8" w:rsidRPr="006A0CC8" w:rsidRDefault="006A0CC8" w:rsidP="00131805">
            <w:pPr>
              <w:spacing w:after="0" w:line="240" w:lineRule="auto"/>
              <w:jc w:val="center"/>
              <w:rPr>
                <w:rFonts w:ascii="Poppins" w:eastAsia="Times New Roman" w:hAnsi="Poppins" w:cs="Arial"/>
                <w:color w:val="000000"/>
                <w:sz w:val="16"/>
                <w:szCs w:val="16"/>
                <w:lang w:val="en-US" w:eastAsia="it-IT"/>
              </w:rPr>
            </w:pPr>
            <w:r w:rsidRPr="006A0CC8">
              <w:rPr>
                <w:rFonts w:ascii="Poppins" w:eastAsia="Times New Roman" w:hAnsi="Poppins" w:cs="Arial"/>
                <w:color w:val="000000"/>
                <w:sz w:val="16"/>
                <w:szCs w:val="16"/>
                <w:lang w:val="en-US" w:eastAsia="it-IT"/>
              </w:rPr>
              <w:t>Observational study on viral shedding and immunological response of Oropouche virus</w:t>
            </w:r>
          </w:p>
        </w:tc>
        <w:tc>
          <w:tcPr>
            <w:tcW w:w="588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6A0CC8" w:rsidRPr="00FF14C8" w:rsidRDefault="006A0CC8" w:rsidP="00131805">
            <w:pPr>
              <w:spacing w:after="0" w:line="240" w:lineRule="auto"/>
              <w:jc w:val="center"/>
              <w:rPr>
                <w:rFonts w:ascii="Poppins" w:eastAsia="Times New Roman" w:hAnsi="Poppins" w:cs="Arial"/>
                <w:color w:val="000000"/>
                <w:sz w:val="16"/>
                <w:szCs w:val="16"/>
                <w:lang w:val="en-US" w:eastAsia="it-IT"/>
              </w:rPr>
            </w:pPr>
            <w:proofErr w:type="spellStart"/>
            <w:r>
              <w:rPr>
                <w:rFonts w:ascii="Poppins" w:eastAsia="Times New Roman" w:hAnsi="Poppins" w:cs="Arial"/>
                <w:color w:val="000000"/>
                <w:sz w:val="16"/>
                <w:szCs w:val="16"/>
                <w:lang w:val="en-US" w:eastAsia="it-IT"/>
              </w:rPr>
              <w:t>Infezione</w:t>
            </w:r>
            <w:proofErr w:type="spellEnd"/>
            <w:r>
              <w:rPr>
                <w:rFonts w:ascii="Poppins" w:eastAsia="Times New Roman" w:hAnsi="Poppins" w:cs="Arial"/>
                <w:color w:val="000000"/>
                <w:sz w:val="16"/>
                <w:szCs w:val="16"/>
                <w:lang w:val="en-US" w:eastAsia="it-IT"/>
              </w:rPr>
              <w:t xml:space="preserve"> da </w:t>
            </w:r>
            <w:proofErr w:type="spellStart"/>
            <w:r>
              <w:rPr>
                <w:rFonts w:ascii="Poppins" w:eastAsia="Times New Roman" w:hAnsi="Poppins" w:cs="Arial"/>
                <w:color w:val="000000"/>
                <w:sz w:val="16"/>
                <w:szCs w:val="16"/>
                <w:lang w:val="en-US" w:eastAsia="it-IT"/>
              </w:rPr>
              <w:t>Oropouche</w:t>
            </w:r>
            <w:proofErr w:type="spellEnd"/>
          </w:p>
        </w:tc>
        <w:tc>
          <w:tcPr>
            <w:tcW w:w="656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6A0CC8" w:rsidRPr="00FF378B" w:rsidRDefault="006A0CC8" w:rsidP="00131805">
            <w:pPr>
              <w:spacing w:after="0" w:line="240" w:lineRule="auto"/>
              <w:jc w:val="center"/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</w:pPr>
            <w:r w:rsidRPr="00B54025"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  <w:t>DITM</w:t>
            </w:r>
          </w:p>
        </w:tc>
        <w:tc>
          <w:tcPr>
            <w:tcW w:w="448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6A0CC8" w:rsidRPr="00FF378B" w:rsidRDefault="006A0CC8" w:rsidP="00131805">
            <w:pPr>
              <w:spacing w:after="0" w:line="240" w:lineRule="auto"/>
              <w:jc w:val="center"/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</w:pPr>
            <w:r w:rsidRPr="00FF378B"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  <w:t>Studio Approvato</w:t>
            </w:r>
          </w:p>
        </w:tc>
        <w:tc>
          <w:tcPr>
            <w:tcW w:w="807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6A0CC8" w:rsidRPr="00FF378B" w:rsidRDefault="006A0CC8" w:rsidP="00131805">
            <w:pPr>
              <w:spacing w:after="0" w:line="240" w:lineRule="auto"/>
              <w:jc w:val="center"/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</w:pPr>
            <w:r w:rsidRPr="00FF14C8">
              <w:rPr>
                <w:rFonts w:ascii="Poppins" w:eastAsia="Times New Roman" w:hAnsi="Poppins" w:cs="Arial"/>
                <w:color w:val="000000"/>
                <w:sz w:val="16"/>
                <w:szCs w:val="16"/>
                <w:lang w:eastAsia="it-IT"/>
              </w:rPr>
              <w:t>10/12/2024</w:t>
            </w:r>
          </w:p>
        </w:tc>
      </w:tr>
    </w:tbl>
    <w:p w:rsidR="006A0CC8" w:rsidRDefault="006A0CC8" w:rsidP="006A0CC8">
      <w:pPr>
        <w:pStyle w:val="NormaleWeb"/>
        <w:keepNext/>
        <w:jc w:val="both"/>
        <w:rPr>
          <w:rFonts w:ascii="Poppins" w:hAnsi="Poppins"/>
          <w:b/>
          <w:bCs/>
          <w:color w:val="203E77"/>
          <w:sz w:val="30"/>
          <w:szCs w:val="30"/>
        </w:rPr>
      </w:pPr>
    </w:p>
    <w:p w:rsidR="003879FF" w:rsidRDefault="003879FF"/>
    <w:sectPr w:rsidR="003879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CC8"/>
    <w:rsid w:val="00022AE4"/>
    <w:rsid w:val="0005263E"/>
    <w:rsid w:val="003879FF"/>
    <w:rsid w:val="004A0D1C"/>
    <w:rsid w:val="006A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129F5-2626-4FB7-A2DB-D045A183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0C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qFormat/>
    <w:rsid w:val="00022AE4"/>
    <w:pPr>
      <w:keepNext/>
      <w:widowControl w:val="0"/>
      <w:shd w:val="clear" w:color="auto" w:fill="FFFFFF"/>
      <w:tabs>
        <w:tab w:val="left" w:pos="440"/>
        <w:tab w:val="right" w:leader="dot" w:pos="9628"/>
      </w:tabs>
      <w:suppressAutoHyphens/>
      <w:spacing w:after="100" w:line="360" w:lineRule="auto"/>
      <w:textAlignment w:val="baseline"/>
    </w:pPr>
    <w:rPr>
      <w:rFonts w:ascii="Century Gothic" w:eastAsia="Times New Roman" w:hAnsi="Century Gothic" w:cs="Times New Roman"/>
      <w:color w:val="00000A"/>
      <w:sz w:val="24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6A0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Piubelli</dc:creator>
  <cp:keywords/>
  <dc:description/>
  <cp:lastModifiedBy>Elena Zuppini</cp:lastModifiedBy>
  <cp:revision>2</cp:revision>
  <dcterms:created xsi:type="dcterms:W3CDTF">2025-03-05T08:46:00Z</dcterms:created>
  <dcterms:modified xsi:type="dcterms:W3CDTF">2025-03-05T08:46:00Z</dcterms:modified>
</cp:coreProperties>
</file>